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51" w:rsidRDefault="00433951" w:rsidP="00433951">
      <w:pPr>
        <w:pStyle w:val="CM8"/>
        <w:jc w:val="center"/>
        <w:rPr>
          <w:rFonts w:ascii="Arial" w:hAnsi="Arial" w:cs="Arial"/>
          <w:b/>
          <w:color w:val="000000"/>
          <w:sz w:val="20"/>
          <w:szCs w:val="20"/>
          <w:u w:val="single"/>
        </w:rPr>
      </w:pPr>
      <w:r w:rsidRPr="00433951">
        <w:rPr>
          <w:rFonts w:ascii="Arial" w:hAnsi="Arial" w:cs="Arial"/>
          <w:b/>
          <w:color w:val="000000"/>
          <w:sz w:val="20"/>
          <w:szCs w:val="20"/>
          <w:u w:val="single"/>
        </w:rPr>
        <w:t xml:space="preserve">The Investment Company Act of 1940 </w:t>
      </w:r>
    </w:p>
    <w:p w:rsidR="00433951" w:rsidRDefault="00433951" w:rsidP="00433951">
      <w:pPr>
        <w:pStyle w:val="CM8"/>
        <w:jc w:val="center"/>
        <w:rPr>
          <w:rFonts w:ascii="Arial" w:hAnsi="Arial" w:cs="Arial"/>
          <w:b/>
          <w:color w:val="000000"/>
          <w:sz w:val="20"/>
          <w:szCs w:val="20"/>
          <w:u w:val="single"/>
        </w:rPr>
      </w:pPr>
    </w:p>
    <w:p w:rsidR="00433951" w:rsidRPr="00433951" w:rsidRDefault="00433951" w:rsidP="00433951">
      <w:pPr>
        <w:pStyle w:val="CM8"/>
        <w:jc w:val="center"/>
        <w:rPr>
          <w:rFonts w:ascii="Arial" w:hAnsi="Arial" w:cs="Arial"/>
          <w:b/>
          <w:color w:val="000000"/>
          <w:sz w:val="20"/>
          <w:szCs w:val="20"/>
          <w:u w:val="single"/>
        </w:rPr>
      </w:pPr>
      <w:r w:rsidRPr="00433951">
        <w:rPr>
          <w:rFonts w:ascii="Arial" w:hAnsi="Arial" w:cs="Arial"/>
          <w:b/>
          <w:color w:val="000000"/>
          <w:sz w:val="20"/>
          <w:szCs w:val="20"/>
          <w:u w:val="single"/>
        </w:rPr>
        <w:t>Section 2(a)(51)(A) – Definition of a Qualified Purchaser</w:t>
      </w:r>
    </w:p>
    <w:p w:rsidR="00433951" w:rsidRDefault="00433951" w:rsidP="00433951">
      <w:pPr>
        <w:pStyle w:val="Default"/>
      </w:pPr>
    </w:p>
    <w:p w:rsidR="00433951" w:rsidRPr="00433951" w:rsidRDefault="00433951" w:rsidP="00433951">
      <w:pPr>
        <w:pStyle w:val="Default"/>
      </w:pPr>
    </w:p>
    <w:p w:rsidR="00433951" w:rsidRDefault="00433951" w:rsidP="00433951">
      <w:pPr>
        <w:pStyle w:val="CM8"/>
        <w:jc w:val="both"/>
        <w:rPr>
          <w:rFonts w:cs="ANAAA A+ New Century Schlbk"/>
          <w:color w:val="000000"/>
          <w:sz w:val="20"/>
          <w:szCs w:val="20"/>
        </w:rPr>
      </w:pPr>
      <w:r>
        <w:rPr>
          <w:rFonts w:cs="ANAAA A+ New Century Schlbk"/>
          <w:color w:val="000000"/>
          <w:sz w:val="20"/>
          <w:szCs w:val="20"/>
        </w:rPr>
        <w:t xml:space="preserve">(51)(A) ‘‘Qualified purchaser’’ means— </w:t>
      </w:r>
    </w:p>
    <w:p w:rsidR="00433951" w:rsidRDefault="00433951" w:rsidP="00433951">
      <w:pPr>
        <w:pStyle w:val="Default"/>
        <w:ind w:left="720"/>
        <w:rPr>
          <w:sz w:val="20"/>
          <w:szCs w:val="20"/>
        </w:rPr>
      </w:pPr>
      <w:r>
        <w:rPr>
          <w:sz w:val="20"/>
          <w:szCs w:val="20"/>
        </w:rPr>
        <w:t xml:space="preserve">(i) any natural person (including any person who holds a joint, community property, or other similar shared ownership interest in an issuer that is excepted under section 3(c)(7) with that person’s qualified purchaser spouse) who owns not less than $5,000,000 in investments, as defined by the Commission; </w:t>
      </w:r>
    </w:p>
    <w:p w:rsidR="00433951" w:rsidRDefault="00433951" w:rsidP="00433951">
      <w:pPr>
        <w:pStyle w:val="Default"/>
        <w:ind w:left="397"/>
        <w:rPr>
          <w:sz w:val="20"/>
          <w:szCs w:val="20"/>
        </w:rPr>
      </w:pPr>
    </w:p>
    <w:p w:rsidR="00433951" w:rsidRDefault="00433951" w:rsidP="00433951">
      <w:pPr>
        <w:pStyle w:val="Default"/>
        <w:ind w:left="720"/>
        <w:rPr>
          <w:sz w:val="20"/>
          <w:szCs w:val="20"/>
        </w:rPr>
      </w:pPr>
      <w:r>
        <w:rPr>
          <w:sz w:val="20"/>
          <w:szCs w:val="20"/>
        </w:rPr>
        <w:t xml:space="preserve">(ii) any company that owns not less than $5,000,000 in investments and that is owned directly or indirectly by or for 2 or more natural persons who are related as siblings or spouse (including former spouses), or direct lineal descendants by birth or adoption, spouses of such persons, the estates of such persons, or foundations, charitable organizations, or trusts established by or for the benefit of such persons; </w:t>
      </w:r>
    </w:p>
    <w:p w:rsidR="00433951" w:rsidRDefault="00433951" w:rsidP="00433951">
      <w:pPr>
        <w:pStyle w:val="CM5"/>
        <w:ind w:left="397"/>
        <w:jc w:val="both"/>
        <w:rPr>
          <w:rFonts w:cs="ANAAA A+ New Century Schlbk"/>
          <w:color w:val="000000"/>
          <w:sz w:val="20"/>
          <w:szCs w:val="20"/>
        </w:rPr>
      </w:pPr>
    </w:p>
    <w:p w:rsidR="00433951" w:rsidRDefault="00433951" w:rsidP="00433951">
      <w:pPr>
        <w:pStyle w:val="CM5"/>
        <w:ind w:left="720"/>
        <w:jc w:val="both"/>
        <w:rPr>
          <w:rFonts w:cs="ANAAA A+ New Century Schlbk"/>
          <w:color w:val="000000"/>
          <w:sz w:val="19"/>
          <w:szCs w:val="19"/>
        </w:rPr>
      </w:pPr>
      <w:r>
        <w:rPr>
          <w:rFonts w:cs="ANAAA A+ New Century Schlbk"/>
          <w:color w:val="000000"/>
          <w:sz w:val="19"/>
          <w:szCs w:val="19"/>
        </w:rPr>
        <w:t xml:space="preserve">(iii) any trust that is not covered by clause (ii) and that was not formed for the specific purpose of acquiring the securities offered, as to which the trustee or other person authorized to make decisions with respect to the trust, and each settlor or other person who has contributed assets to the trust, is a person described in clause (i), (ii), or (iv); or </w:t>
      </w:r>
    </w:p>
    <w:p w:rsidR="00433951" w:rsidRDefault="00433951" w:rsidP="00433951">
      <w:pPr>
        <w:pStyle w:val="CM5"/>
        <w:ind w:left="397"/>
        <w:jc w:val="both"/>
        <w:rPr>
          <w:rFonts w:cs="ANAAA A+ New Century Schlbk"/>
          <w:color w:val="000000"/>
          <w:sz w:val="20"/>
          <w:szCs w:val="20"/>
        </w:rPr>
      </w:pPr>
    </w:p>
    <w:p w:rsidR="00433951" w:rsidRDefault="00433951" w:rsidP="00433951">
      <w:pPr>
        <w:pStyle w:val="CM5"/>
        <w:ind w:left="720"/>
        <w:jc w:val="both"/>
        <w:rPr>
          <w:rFonts w:cs="ANAAA A+ New Century Schlbk"/>
          <w:color w:val="000000"/>
          <w:sz w:val="20"/>
          <w:szCs w:val="20"/>
        </w:rPr>
      </w:pPr>
      <w:r>
        <w:rPr>
          <w:rFonts w:cs="ANAAA A+ New Century Schlbk"/>
          <w:color w:val="000000"/>
          <w:sz w:val="20"/>
          <w:szCs w:val="20"/>
        </w:rPr>
        <w:t xml:space="preserve">(iv) any person, acting for its own account or the accounts of other qualified purchasers, who in the aggregate owns and invests on a discretionary basis, not less than $25,000,000 in investments. </w:t>
      </w:r>
    </w:p>
    <w:p w:rsidR="00433951" w:rsidRDefault="00433951" w:rsidP="00433951">
      <w:pPr>
        <w:pStyle w:val="Default"/>
        <w:rPr>
          <w:sz w:val="20"/>
          <w:szCs w:val="20"/>
        </w:rPr>
      </w:pPr>
    </w:p>
    <w:p w:rsidR="00433951" w:rsidRDefault="00433951" w:rsidP="00433951">
      <w:pPr>
        <w:pStyle w:val="Default"/>
        <w:ind w:left="397"/>
        <w:rPr>
          <w:sz w:val="20"/>
          <w:szCs w:val="20"/>
        </w:rPr>
      </w:pPr>
      <w:r>
        <w:rPr>
          <w:sz w:val="20"/>
          <w:szCs w:val="20"/>
        </w:rPr>
        <w:t xml:space="preserve">(B) The Commission may adopt such rules and regulations applicable to the persons and trusts specified in clauses (i) through (iv) of subparagraph (A) as it determines are necessary or appropriate in the public interest or for the protection of investors. </w:t>
      </w:r>
    </w:p>
    <w:p w:rsidR="00433951" w:rsidRDefault="00433951" w:rsidP="00433951">
      <w:pPr>
        <w:pStyle w:val="Default"/>
        <w:ind w:left="397"/>
        <w:rPr>
          <w:sz w:val="20"/>
          <w:szCs w:val="20"/>
        </w:rPr>
      </w:pPr>
    </w:p>
    <w:p w:rsidR="00433951" w:rsidRDefault="00433951" w:rsidP="00433951">
      <w:pPr>
        <w:pStyle w:val="Default"/>
        <w:ind w:left="397"/>
        <w:rPr>
          <w:sz w:val="20"/>
          <w:szCs w:val="20"/>
        </w:rPr>
      </w:pPr>
      <w:r>
        <w:rPr>
          <w:sz w:val="20"/>
          <w:szCs w:val="20"/>
        </w:rPr>
        <w:t xml:space="preserve">(C) The term ‘‘qualified purchaser’’ does not include a company that, but for the exceptions provided for in paragraph (1) or (7) of section 3(c), would be an investment company (hereafter in this paragraph referred to as an ‘‘excepted investment company’’), unless all beneficial owners of its outstanding securities (other than short-term paper), determined in accordance with section 3(c)(1)(A), that acquired such securities on or before April 30, 1996 (hereafter in this paragraph referred to as ‘‘pre-amendment beneficial owners’’), and all pre-amendment beneficial owners of the outstanding securities (other than short-term paper) of any excepted investment company that, directly or indirectly, owns any outstanding securities of such excepted investment company, have consented to its treatment as a qualified purchaser. Unanimous consent of all trustees, directors, or general partners of a company or trust referred to in clause (ii) or (iii) of subparagraph (A) shall constitute consent for purposes of this subparagraph. </w:t>
      </w:r>
    </w:p>
    <w:p w:rsidR="00433951" w:rsidRDefault="00433951"/>
    <w:p w:rsidR="00433951" w:rsidRDefault="00AB3EA2">
      <w:hyperlink r:id="rId5" w:history="1">
        <w:r w:rsidRPr="00E46649">
          <w:rPr>
            <w:rStyle w:val="Hyperlink"/>
          </w:rPr>
          <w:t>http://www.sec.gov/about/laws/ica40.pdf</w:t>
        </w:r>
      </w:hyperlink>
    </w:p>
    <w:p w:rsidR="00AB3EA2" w:rsidRDefault="00AB3EA2">
      <w:bookmarkStart w:id="0" w:name="_GoBack"/>
      <w:bookmarkEnd w:id="0"/>
    </w:p>
    <w:sectPr w:rsidR="00AB3EA2" w:rsidSect="00433951">
      <w:pgSz w:w="12240" w:h="163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70"/>
    <w:rsid w:val="00011770"/>
    <w:rsid w:val="00433951"/>
    <w:rsid w:val="009177F7"/>
    <w:rsid w:val="00AB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951"/>
    <w:pPr>
      <w:autoSpaceDE w:val="0"/>
      <w:autoSpaceDN w:val="0"/>
      <w:adjustRightInd w:val="0"/>
      <w:spacing w:after="0" w:line="240" w:lineRule="auto"/>
    </w:pPr>
    <w:rPr>
      <w:rFonts w:ascii="ANAAA A+ New Century Schlbk" w:hAnsi="ANAAA A+ New Century Schlbk" w:cs="ANAAA A+ New Century Schlbk"/>
      <w:color w:val="000000"/>
      <w:sz w:val="24"/>
      <w:szCs w:val="24"/>
    </w:rPr>
  </w:style>
  <w:style w:type="paragraph" w:customStyle="1" w:styleId="CM8">
    <w:name w:val="CM8"/>
    <w:basedOn w:val="Default"/>
    <w:next w:val="Default"/>
    <w:uiPriority w:val="99"/>
    <w:rsid w:val="00433951"/>
    <w:pPr>
      <w:spacing w:line="200" w:lineRule="atLeast"/>
    </w:pPr>
    <w:rPr>
      <w:rFonts w:cstheme="minorBidi"/>
      <w:color w:val="auto"/>
    </w:rPr>
  </w:style>
  <w:style w:type="paragraph" w:customStyle="1" w:styleId="CM5">
    <w:name w:val="CM5"/>
    <w:basedOn w:val="Default"/>
    <w:next w:val="Default"/>
    <w:uiPriority w:val="99"/>
    <w:rsid w:val="00433951"/>
    <w:pPr>
      <w:spacing w:line="203" w:lineRule="atLeast"/>
    </w:pPr>
    <w:rPr>
      <w:rFonts w:cstheme="minorBidi"/>
      <w:color w:val="auto"/>
    </w:rPr>
  </w:style>
  <w:style w:type="character" w:styleId="Hyperlink">
    <w:name w:val="Hyperlink"/>
    <w:basedOn w:val="DefaultParagraphFont"/>
    <w:uiPriority w:val="99"/>
    <w:unhideWhenUsed/>
    <w:rsid w:val="00AB3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951"/>
    <w:pPr>
      <w:autoSpaceDE w:val="0"/>
      <w:autoSpaceDN w:val="0"/>
      <w:adjustRightInd w:val="0"/>
      <w:spacing w:after="0" w:line="240" w:lineRule="auto"/>
    </w:pPr>
    <w:rPr>
      <w:rFonts w:ascii="ANAAA A+ New Century Schlbk" w:hAnsi="ANAAA A+ New Century Schlbk" w:cs="ANAAA A+ New Century Schlbk"/>
      <w:color w:val="000000"/>
      <w:sz w:val="24"/>
      <w:szCs w:val="24"/>
    </w:rPr>
  </w:style>
  <w:style w:type="paragraph" w:customStyle="1" w:styleId="CM8">
    <w:name w:val="CM8"/>
    <w:basedOn w:val="Default"/>
    <w:next w:val="Default"/>
    <w:uiPriority w:val="99"/>
    <w:rsid w:val="00433951"/>
    <w:pPr>
      <w:spacing w:line="200" w:lineRule="atLeast"/>
    </w:pPr>
    <w:rPr>
      <w:rFonts w:cstheme="minorBidi"/>
      <w:color w:val="auto"/>
    </w:rPr>
  </w:style>
  <w:style w:type="paragraph" w:customStyle="1" w:styleId="CM5">
    <w:name w:val="CM5"/>
    <w:basedOn w:val="Default"/>
    <w:next w:val="Default"/>
    <w:uiPriority w:val="99"/>
    <w:rsid w:val="00433951"/>
    <w:pPr>
      <w:spacing w:line="203" w:lineRule="atLeast"/>
    </w:pPr>
    <w:rPr>
      <w:rFonts w:cstheme="minorBidi"/>
      <w:color w:val="auto"/>
    </w:rPr>
  </w:style>
  <w:style w:type="character" w:styleId="Hyperlink">
    <w:name w:val="Hyperlink"/>
    <w:basedOn w:val="DefaultParagraphFont"/>
    <w:uiPriority w:val="99"/>
    <w:unhideWhenUsed/>
    <w:rsid w:val="00AB3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gov/about/laws/ica4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2400</Characters>
  <Application>Microsoft Office Word</Application>
  <DocSecurity>0</DocSecurity>
  <Lines>20</Lines>
  <Paragraphs>5</Paragraphs>
  <ScaleCrop>false</ScaleCrop>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Dan</dc:creator>
  <cp:keywords/>
  <dc:description/>
  <cp:lastModifiedBy>Miles, Dan</cp:lastModifiedBy>
  <cp:revision>3</cp:revision>
  <dcterms:created xsi:type="dcterms:W3CDTF">2012-06-07T21:31:00Z</dcterms:created>
  <dcterms:modified xsi:type="dcterms:W3CDTF">2012-06-07T21:37:00Z</dcterms:modified>
</cp:coreProperties>
</file>